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hanging="0"/>
        <w:jc w:val="both"/>
        <w:rPr>
          <w:b w:val="false"/>
          <w:b w:val="false"/>
          <w:bCs w:val="false"/>
        </w:rPr>
      </w:pPr>
      <w:r>
        <w:rPr>
          <w:rFonts w:cs="Times New Roman" w:ascii="Times New Roman" w:hAnsi="Times New Roman"/>
          <w:b w:val="false"/>
          <w:bCs w:val="false"/>
          <w:i w:val="false"/>
          <w:iCs w:val="false"/>
          <w:sz w:val="26"/>
          <w:szCs w:val="26"/>
        </w:rPr>
        <w:tab/>
      </w:r>
    </w:p>
    <w:p>
      <w:pPr>
        <w:pStyle w:val="Normal"/>
        <w:spacing w:lineRule="auto" w:line="240" w:before="0" w:after="0"/>
        <w:ind w:hanging="0"/>
        <w:jc w:val="both"/>
        <w:rPr>
          <w:b w:val="false"/>
          <w:b w:val="false"/>
          <w:bCs w:val="false"/>
        </w:rPr>
      </w:pPr>
      <w:r>
        <w:rPr>
          <w:rFonts w:cs="Times New Roman" w:ascii="Times New Roman" w:hAnsi="Times New Roman"/>
          <w:b w:val="false"/>
          <w:bCs w:val="false"/>
          <w:i w:val="false"/>
          <w:iCs w:val="false"/>
          <w:sz w:val="26"/>
          <w:szCs w:val="26"/>
        </w:rPr>
        <w:tab/>
        <w:t xml:space="preserve">Отделение надзорной деятельности и профилактической работы по Рамешковскому и Максатихинскому районам Тверской области  напоминает, что наступление  холодов </w:t>
      </w:r>
      <w:r>
        <w:rPr>
          <w:rFonts w:cs="Times New Roman" w:ascii="Times New Roman" w:hAnsi="Times New Roman"/>
          <w:b w:val="false"/>
          <w:bCs w:val="false"/>
          <w:i w:val="false"/>
          <w:iCs w:val="false"/>
          <w:sz w:val="26"/>
          <w:szCs w:val="26"/>
        </w:rPr>
        <w:t xml:space="preserve">напрямую </w:t>
      </w:r>
      <w:r>
        <w:rPr>
          <w:rFonts w:cs="Times New Roman" w:ascii="Times New Roman" w:hAnsi="Times New Roman"/>
          <w:b w:val="false"/>
          <w:bCs w:val="false"/>
          <w:i w:val="false"/>
          <w:iCs w:val="false"/>
          <w:sz w:val="26"/>
          <w:szCs w:val="26"/>
        </w:rPr>
        <w:t>связано с активным использованием населением обогревательных приборов. Несоблюдение жителями правил пожар</w:t>
      </w:r>
      <w:r>
        <w:rPr>
          <w:rFonts w:cs="Times New Roman" w:ascii="Times New Roman" w:hAnsi="Times New Roman"/>
          <w:b w:val="false"/>
          <w:bCs w:val="false"/>
          <w:sz w:val="26"/>
          <w:szCs w:val="26"/>
        </w:rPr>
        <w:t>ной безопасности при эксплуатации печного отопления и электроприборов приводит к пожарам.</w:t>
      </w:r>
    </w:p>
    <w:p>
      <w:pPr>
        <w:pStyle w:val="Normal"/>
        <w:spacing w:lineRule="auto" w:line="240" w:before="0" w:after="0"/>
        <w:ind w:firstLine="708"/>
        <w:jc w:val="both"/>
        <w:rPr>
          <w:sz w:val="26"/>
          <w:szCs w:val="26"/>
        </w:rPr>
      </w:pPr>
      <w:r>
        <w:rPr>
          <w:rFonts w:cs="Times New Roman" w:ascii="Times New Roman" w:hAnsi="Times New Roman"/>
          <w:sz w:val="26"/>
          <w:szCs w:val="26"/>
        </w:rPr>
        <w:t>Предупредить пожар легче, чем тушить. Обезопасить свой дом от пожара, значит не лишиться имущества, не подвергнуть риску собственную жизнь и здоровье близких. Проверьте сами себя, осмотрите свое жилище: все ли соответствует правилам пожарной безопасности? Все ли вы предусмотрели, чтобы не допустить возникновение пожара?</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b/>
          <w:color w:val="auto"/>
          <w:kern w:val="0"/>
          <w:sz w:val="26"/>
          <w:szCs w:val="26"/>
          <w:lang w:val="ru-RU" w:eastAsia="en-US" w:bidi="ar-SA"/>
        </w:rPr>
        <w:t>Во избежание пожаров в результате нарушения правил пожарной безопасности при эксплуатации электрооборудования и печного отопления следует соблюдать следующие правила:</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u w:val="single"/>
          <w:lang w:val="ru-RU" w:eastAsia="en-US" w:bidi="ar-SA"/>
        </w:rPr>
        <w:t>При эксплуатации печного отопления запрещается:</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 оставлять без присмотра печи, которые топятся, а также поручать надзор за ними детям;</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 располагать топливо, другие горючие вещества и материалы на предтопочном листе;</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 применять для розжига печей бензин, керосин, дизельное топливо и другие легковоспламеняющиеся и горючие жидкости;</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 топить углем, коксом и газом печи, не предназначенные для этих видов топлива;</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 производить топку печей во время проведения в помещениях собраний и других массовых мероприятий;</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 использовать вентиляционные и газовые каналы в качестве дымоходов;</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 перекаливать печи.</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Зола и шлак, выгребаемые из топок, должны быть залиты водой и удалены в специально отведенное для них место.</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b/>
          <w:bCs/>
          <w:color w:val="auto"/>
          <w:kern w:val="0"/>
          <w:sz w:val="26"/>
          <w:szCs w:val="26"/>
          <w:lang w:val="ru-RU" w:eastAsia="en-US" w:bidi="ar-SA"/>
        </w:rPr>
        <w:t>Запрещается</w:t>
      </w:r>
      <w:r>
        <w:rPr>
          <w:rFonts w:eastAsia="Calibri" w:cs="Times New Roman" w:ascii="Times New Roman" w:hAnsi="Times New Roman" w:eastAsiaTheme="minorHAnsi"/>
          <w:color w:val="auto"/>
          <w:kern w:val="0"/>
          <w:sz w:val="26"/>
          <w:szCs w:val="26"/>
          <w:lang w:val="ru-RU" w:eastAsia="en-US" w:bidi="ar-SA"/>
        </w:rPr>
        <w:t xml:space="preserve">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Неисправные печи и другие отопительные приборы к эксплуатации не допускаются.</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u w:val="single"/>
          <w:lang w:val="ru-RU" w:eastAsia="en-US" w:bidi="ar-SA"/>
        </w:rPr>
        <w:t>При эксплуатации электрооборудования запрещается:</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 эксплуатация электроприборов с нарушениями требований указанных в инструкции по применению приборов;</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-оставлять без присмотра включенными в электрическую сеть электронагревательные приборы и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 использовать самодельные и неисправные бытовые и обогревательные приборы, а также перегружать электрическую сеть включением одновременно большого количества электроприборов.</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Основной причиной пожаров, на которых погибают люди, является неосторожное обращение с огнем, ввиду этого будьте осторожны при использовании открытого огня при курении (особенно в состоянии алкогольного опьянения).</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Не оставляйте без присмотра детей, престарелых и больных граждан. Будьте бдительны, берегите себя и своих близких.</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Напоминаем, что за нарушение вышеуказанных требований предусмотрена административная ответственности в соответствии со статьей 20.4 Кодекса об административных правонарушениях:</w:t>
      </w:r>
    </w:p>
    <w:p>
      <w:pPr>
        <w:pStyle w:val="ListParagraph"/>
        <w:numPr>
          <w:ilvl w:val="0"/>
          <w:numId w:val="1"/>
        </w:numPr>
        <w:jc w:val="both"/>
        <w:rPr>
          <w:rFonts w:ascii="Times New Roman" w:hAnsi="Times New Roman" w:eastAsia="Calibri" w:cs="Times New Roman" w:eastAsiaTheme="minorHAnsi"/>
          <w:b/>
          <w:b/>
          <w:bCs/>
          <w:color w:val="auto"/>
          <w:kern w:val="0"/>
          <w:sz w:val="26"/>
          <w:szCs w:val="26"/>
          <w:lang w:val="ru-RU" w:eastAsia="en-US" w:bidi="ar-SA"/>
        </w:rPr>
      </w:pPr>
      <w:r>
        <w:rPr>
          <w:rFonts w:eastAsia="Calibri" w:cs="Times New Roman" w:ascii="Times New Roman" w:hAnsi="Times New Roman" w:eastAsiaTheme="minorHAnsi"/>
          <w:b/>
          <w:bCs/>
          <w:color w:val="auto"/>
          <w:kern w:val="0"/>
          <w:sz w:val="26"/>
          <w:szCs w:val="26"/>
          <w:lang w:val="ru-RU" w:eastAsia="en-US" w:bidi="ar-SA"/>
        </w:rPr>
        <w:t>Граждане в размере от 5 000 до 15 000 рублей;</w:t>
      </w:r>
    </w:p>
    <w:p>
      <w:pPr>
        <w:pStyle w:val="ListParagraph"/>
        <w:numPr>
          <w:ilvl w:val="0"/>
          <w:numId w:val="1"/>
        </w:numPr>
        <w:jc w:val="both"/>
        <w:rPr>
          <w:rFonts w:ascii="Times New Roman" w:hAnsi="Times New Roman" w:eastAsia="Calibri" w:cs="Times New Roman" w:eastAsiaTheme="minorHAnsi"/>
          <w:b/>
          <w:b/>
          <w:bCs/>
          <w:color w:val="auto"/>
          <w:kern w:val="0"/>
          <w:sz w:val="26"/>
          <w:szCs w:val="26"/>
          <w:lang w:val="ru-RU" w:eastAsia="en-US" w:bidi="ar-SA"/>
        </w:rPr>
      </w:pPr>
      <w:r>
        <w:rPr>
          <w:rFonts w:eastAsia="Calibri" w:cs="Times New Roman" w:ascii="Times New Roman" w:hAnsi="Times New Roman" w:eastAsiaTheme="minorHAnsi"/>
          <w:b/>
          <w:bCs/>
          <w:color w:val="auto"/>
          <w:kern w:val="0"/>
          <w:sz w:val="26"/>
          <w:szCs w:val="26"/>
          <w:lang w:val="ru-RU" w:eastAsia="en-US" w:bidi="ar-SA"/>
        </w:rPr>
        <w:t>Должностные лица – от 20 000 до 30 000 рублей;</w:t>
      </w:r>
    </w:p>
    <w:p>
      <w:pPr>
        <w:pStyle w:val="ListParagraph"/>
        <w:numPr>
          <w:ilvl w:val="0"/>
          <w:numId w:val="1"/>
        </w:numPr>
        <w:jc w:val="both"/>
        <w:rPr>
          <w:rFonts w:ascii="Times New Roman" w:hAnsi="Times New Roman" w:eastAsia="Calibri" w:cs="Times New Roman" w:eastAsiaTheme="minorHAnsi"/>
          <w:b/>
          <w:b/>
          <w:bCs/>
          <w:color w:val="auto"/>
          <w:kern w:val="0"/>
          <w:sz w:val="26"/>
          <w:szCs w:val="26"/>
          <w:lang w:val="ru-RU" w:eastAsia="en-US" w:bidi="ar-SA"/>
        </w:rPr>
      </w:pPr>
      <w:r>
        <w:rPr>
          <w:rFonts w:eastAsia="Calibri" w:cs="Times New Roman" w:ascii="Times New Roman" w:hAnsi="Times New Roman" w:eastAsiaTheme="minorHAnsi"/>
          <w:b/>
          <w:bCs/>
          <w:color w:val="auto"/>
          <w:kern w:val="0"/>
          <w:sz w:val="26"/>
          <w:szCs w:val="26"/>
          <w:lang w:val="ru-RU" w:eastAsia="en-US" w:bidi="ar-SA"/>
        </w:rPr>
        <w:t>Индивидуальным предпринимателям - от 40 000 до 60 000 рублей;</w:t>
      </w:r>
    </w:p>
    <w:p>
      <w:pPr>
        <w:pStyle w:val="ListParagraph"/>
        <w:numPr>
          <w:ilvl w:val="0"/>
          <w:numId w:val="1"/>
        </w:numPr>
        <w:jc w:val="both"/>
        <w:rPr>
          <w:rFonts w:ascii="Times New Roman" w:hAnsi="Times New Roman" w:eastAsia="Calibri" w:cs="Times New Roman" w:eastAsiaTheme="minorHAnsi"/>
          <w:b/>
          <w:b/>
          <w:bCs/>
          <w:color w:val="auto"/>
          <w:kern w:val="0"/>
          <w:sz w:val="26"/>
          <w:szCs w:val="26"/>
          <w:lang w:val="ru-RU" w:eastAsia="en-US" w:bidi="ar-SA"/>
        </w:rPr>
      </w:pPr>
      <w:r>
        <w:rPr>
          <w:rFonts w:eastAsia="Calibri" w:cs="Times New Roman" w:ascii="Times New Roman" w:hAnsi="Times New Roman" w:eastAsiaTheme="minorHAnsi"/>
          <w:b/>
          <w:bCs/>
          <w:color w:val="auto"/>
          <w:kern w:val="0"/>
          <w:sz w:val="26"/>
          <w:szCs w:val="26"/>
          <w:lang w:val="ru-RU" w:eastAsia="en-US" w:bidi="ar-SA"/>
        </w:rPr>
        <w:t>Юридические лица –  от 300 000 до 400 000 рублей.</w:t>
      </w:r>
    </w:p>
    <w:p>
      <w:pPr>
        <w:pStyle w:val="ListParagraph"/>
        <w:numPr>
          <w:ilvl w:val="0"/>
          <w:numId w:val="0"/>
        </w:numPr>
        <w:ind w:left="0" w:hanging="0"/>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В случае, если нарушение требований пожарной безопасности повлекут возникновение пожара и уничтожение или повреждение чужого имущества, либо причинение легкого или средней тяжести вреда здоровью человека предусмотрены следующие наказания в соответствии со статьей 20.4 Кодекса об административных правонарушениях:</w:t>
      </w:r>
    </w:p>
    <w:p>
      <w:pPr>
        <w:pStyle w:val="ListParagraph"/>
        <w:widowControl/>
        <w:suppressAutoHyphens w:val="true"/>
        <w:bidi w:val="0"/>
        <w:spacing w:lineRule="auto" w:line="276" w:before="0" w:after="200"/>
        <w:ind w:left="1077" w:right="0" w:hanging="0"/>
        <w:contextualSpacing/>
        <w:jc w:val="both"/>
        <w:rPr>
          <w:rFonts w:ascii="Times New Roman" w:hAnsi="Times New Roman" w:eastAsia="Calibri" w:cs="Times New Roman" w:eastAsiaTheme="minorHAnsi"/>
          <w:b/>
          <w:b/>
          <w:bCs/>
          <w:color w:val="auto"/>
          <w:kern w:val="0"/>
          <w:sz w:val="26"/>
          <w:szCs w:val="26"/>
          <w:lang w:val="ru-RU" w:eastAsia="en-US" w:bidi="ar-SA"/>
        </w:rPr>
      </w:pPr>
      <w:r>
        <w:rPr>
          <w:rFonts w:eastAsia="Calibri" w:cs="Times New Roman" w:ascii="Times New Roman" w:hAnsi="Times New Roman" w:eastAsiaTheme="minorHAnsi"/>
          <w:b/>
          <w:bCs/>
          <w:color w:val="auto"/>
          <w:kern w:val="0"/>
          <w:sz w:val="26"/>
          <w:szCs w:val="26"/>
          <w:lang w:val="ru-RU" w:eastAsia="en-US" w:bidi="ar-SA"/>
        </w:rPr>
        <w:t>1. Граждане в размере от 40 000 до 50 000 рублей;</w:t>
      </w:r>
    </w:p>
    <w:p>
      <w:pPr>
        <w:pStyle w:val="ListParagraph"/>
        <w:widowControl/>
        <w:suppressAutoHyphens w:val="true"/>
        <w:bidi w:val="0"/>
        <w:spacing w:lineRule="auto" w:line="276" w:before="0" w:after="200"/>
        <w:ind w:left="1077" w:right="0" w:hanging="0"/>
        <w:contextualSpacing/>
        <w:jc w:val="both"/>
        <w:rPr>
          <w:rFonts w:ascii="Times New Roman" w:hAnsi="Times New Roman" w:eastAsia="Calibri" w:cs="Times New Roman" w:eastAsiaTheme="minorHAnsi"/>
          <w:b/>
          <w:b/>
          <w:bCs/>
          <w:color w:val="auto"/>
          <w:kern w:val="0"/>
          <w:sz w:val="26"/>
          <w:szCs w:val="26"/>
          <w:lang w:val="ru-RU" w:eastAsia="en-US" w:bidi="ar-SA"/>
        </w:rPr>
      </w:pPr>
      <w:r>
        <w:rPr>
          <w:rFonts w:eastAsia="Calibri" w:cs="Times New Roman" w:ascii="Times New Roman" w:hAnsi="Times New Roman" w:eastAsiaTheme="minorHAnsi"/>
          <w:b/>
          <w:bCs/>
          <w:color w:val="auto"/>
          <w:kern w:val="0"/>
          <w:sz w:val="26"/>
          <w:szCs w:val="26"/>
          <w:lang w:val="ru-RU" w:eastAsia="en-US" w:bidi="ar-SA"/>
        </w:rPr>
        <w:t>2. Должностные лица – от 80 000 до 100 000 рублей;</w:t>
      </w:r>
    </w:p>
    <w:p>
      <w:pPr>
        <w:pStyle w:val="ListParagraph"/>
        <w:widowControl/>
        <w:suppressAutoHyphens w:val="true"/>
        <w:bidi w:val="0"/>
        <w:spacing w:lineRule="auto" w:line="276" w:before="0" w:after="200"/>
        <w:ind w:left="1077" w:right="0" w:hanging="0"/>
        <w:contextualSpacing/>
        <w:jc w:val="both"/>
        <w:rPr>
          <w:rFonts w:ascii="Times New Roman" w:hAnsi="Times New Roman" w:eastAsia="Calibri" w:cs="Times New Roman" w:eastAsiaTheme="minorHAnsi"/>
          <w:b/>
          <w:b/>
          <w:bCs/>
          <w:color w:val="auto"/>
          <w:kern w:val="0"/>
          <w:sz w:val="26"/>
          <w:szCs w:val="26"/>
          <w:lang w:val="ru-RU" w:eastAsia="en-US" w:bidi="ar-SA"/>
        </w:rPr>
      </w:pPr>
      <w:r>
        <w:rPr>
          <w:rFonts w:eastAsia="Calibri" w:cs="Times New Roman" w:ascii="Times New Roman" w:hAnsi="Times New Roman" w:eastAsiaTheme="minorHAnsi"/>
          <w:b/>
          <w:bCs/>
          <w:color w:val="auto"/>
          <w:kern w:val="0"/>
          <w:sz w:val="26"/>
          <w:szCs w:val="26"/>
          <w:lang w:val="ru-RU" w:eastAsia="en-US" w:bidi="ar-SA"/>
        </w:rPr>
        <w:t>3. Индивидуальным предпринимателям - от 90 000 до 150 000 рублей;</w:t>
      </w:r>
    </w:p>
    <w:p>
      <w:pPr>
        <w:pStyle w:val="ListParagraph"/>
        <w:widowControl/>
        <w:suppressAutoHyphens w:val="true"/>
        <w:bidi w:val="0"/>
        <w:spacing w:lineRule="auto" w:line="276" w:before="0" w:after="200"/>
        <w:ind w:left="1077" w:right="0" w:hanging="0"/>
        <w:contextualSpacing/>
        <w:jc w:val="both"/>
        <w:rPr>
          <w:rFonts w:ascii="Times New Roman" w:hAnsi="Times New Roman" w:eastAsia="Calibri" w:cs="Times New Roman" w:eastAsiaTheme="minorHAnsi"/>
          <w:b/>
          <w:b/>
          <w:bCs/>
          <w:color w:val="auto"/>
          <w:kern w:val="0"/>
          <w:sz w:val="26"/>
          <w:szCs w:val="26"/>
          <w:lang w:val="ru-RU" w:eastAsia="en-US" w:bidi="ar-SA"/>
        </w:rPr>
      </w:pPr>
      <w:r>
        <w:rPr>
          <w:rFonts w:eastAsia="Calibri" w:cs="Times New Roman" w:ascii="Times New Roman" w:hAnsi="Times New Roman" w:eastAsiaTheme="minorHAnsi"/>
          <w:b/>
          <w:bCs/>
          <w:color w:val="auto"/>
          <w:kern w:val="0"/>
          <w:sz w:val="26"/>
          <w:szCs w:val="26"/>
          <w:lang w:val="ru-RU" w:eastAsia="en-US" w:bidi="ar-SA"/>
        </w:rPr>
        <w:t>4. Юридические лица –  от 700 000 до 800 000 рублей.</w:t>
      </w:r>
    </w:p>
    <w:p>
      <w:pPr>
        <w:pStyle w:val="Normal"/>
        <w:spacing w:lineRule="auto" w:line="240" w:before="0" w:after="0"/>
        <w:ind w:firstLine="708"/>
        <w:jc w:val="center"/>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b/>
          <w:color w:val="auto"/>
          <w:kern w:val="0"/>
          <w:sz w:val="26"/>
          <w:szCs w:val="26"/>
          <w:u w:val="single"/>
          <w:lang w:val="ru-RU" w:eastAsia="en-US" w:bidi="ar-SA"/>
        </w:rPr>
        <w:t>В случае пожара</w:t>
      </w:r>
      <w:r>
        <w:rPr>
          <w:rFonts w:eastAsia="Calibri" w:cs="Times New Roman" w:ascii="Times New Roman" w:hAnsi="Times New Roman" w:eastAsiaTheme="minorHAnsi"/>
          <w:color w:val="auto"/>
          <w:kern w:val="0"/>
          <w:sz w:val="26"/>
          <w:szCs w:val="26"/>
          <w:u w:val="single"/>
          <w:lang w:val="ru-RU" w:eastAsia="en-US" w:bidi="ar-SA"/>
        </w:rPr>
        <w:t>:</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 xml:space="preserve">Немедленно звоните в пожарную охрану по телефону «101» или «112», при этом не забудьте назвать адрес объекта, место возникновения пожара и сообщить свою фамилию. В случае угрозы жизни людей необходимо немедленно организовать их спасение, используя для этого имеющиеся силы и средства. До прибытия пожарного подразделения использовать в тушение пожара имеющиеся первичные средства пожаротушения (вода, песок, снег, огнетушители, тканевые материалы, смоченные водой). Удалите за пределы опасной зоны людей пожилого возраста, детей, инвалидов и больных. </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eastAsiaTheme="minorHAnsi" w:ascii="Times New Roman" w:hAnsi="Times New Roman"/>
          <w:color w:val="auto"/>
          <w:kern w:val="0"/>
          <w:sz w:val="26"/>
          <w:szCs w:val="26"/>
          <w:lang w:val="ru-RU" w:eastAsia="en-US" w:bidi="ar-SA"/>
        </w:rPr>
      </w:r>
    </w:p>
    <w:p>
      <w:pPr>
        <w:pStyle w:val="Normal"/>
        <w:spacing w:lineRule="auto" w:line="240" w:before="0" w:after="0"/>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 xml:space="preserve">Отделение надзорной деятельности и </w:t>
      </w:r>
    </w:p>
    <w:p>
      <w:pPr>
        <w:pStyle w:val="Normal"/>
        <w:spacing w:lineRule="auto" w:line="240" w:before="0" w:after="0"/>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 xml:space="preserve">профилактической работы по Рамешковскому </w:t>
      </w:r>
    </w:p>
    <w:p>
      <w:pPr>
        <w:pStyle w:val="Normal"/>
        <w:spacing w:lineRule="auto" w:line="240" w:before="0" w:after="0"/>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и Максатихинскому районам Тверской области</w:t>
      </w:r>
    </w:p>
    <w:p>
      <w:pPr>
        <w:pStyle w:val="Normal"/>
        <w:spacing w:lineRule="auto" w:line="240" w:before="0" w:after="0"/>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23.12.2022 г.</w:t>
      </w:r>
    </w:p>
    <w:p>
      <w:pPr>
        <w:pStyle w:val="Normal"/>
        <w:spacing w:lineRule="auto" w:line="240" w:before="0" w:after="0"/>
        <w:ind w:firstLine="708"/>
        <w:rPr>
          <w:rFonts w:ascii="Times New Roman" w:hAnsi="Times New Roman" w:eastAsia="Calibri" w:cs="Times New Roman" w:eastAsiaTheme="minorHAnsi"/>
          <w:color w:val="auto"/>
          <w:kern w:val="0"/>
          <w:sz w:val="26"/>
          <w:szCs w:val="26"/>
          <w:lang w:val="ru-RU" w:eastAsia="en-US" w:bidi="ar-SA"/>
        </w:rPr>
      </w:pPr>
      <w:r>
        <w:rPr/>
      </w:r>
    </w:p>
    <w:sectPr>
      <w:type w:val="nextPage"/>
      <w:pgSz w:w="11906" w:h="16838"/>
      <w:pgMar w:left="1276" w:right="850" w:header="0" w:top="955" w:footer="0" w:bottom="42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ahoma">
    <w:charset w:val="01"/>
    <w:family w:val="roman"/>
    <w:pitch w:val="default"/>
  </w:font>
  <w:font w:name="Courier New">
    <w:charset w:val="01"/>
    <w:family w:val="roman"/>
    <w:pitch w:val="default"/>
  </w:font>
  <w:font w:name="PT Astra Serif">
    <w:charset w:val="01"/>
    <w:family w:val="roman"/>
    <w:pitch w:val="default"/>
  </w:font>
  <w:font w:name="Arial">
    <w:charset w:val="01"/>
    <w:family w:val="roman"/>
    <w:pitch w:val="default"/>
  </w:font>
  <w:font w:name="Times New Roman">
    <w:charset w:val="01"/>
    <w:family w:val="roman"/>
    <w:pitch w:val="default"/>
  </w:font>
  <w:font w:name="0">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1429" w:hanging="360"/>
      </w:pPr>
    </w:lvl>
    <w:lvl w:ilvl="1">
      <w:start w:val="1"/>
      <w:numFmt w:val="bullet"/>
      <w:lvlText w:val="o"/>
      <w:lvlJc w:val="left"/>
      <w:pPr>
        <w:tabs>
          <w:tab w:val="num" w:pos="0"/>
        </w:tabs>
        <w:ind w:left="2149" w:hanging="360"/>
      </w:pPr>
      <w:rPr>
        <w:rFonts w:ascii="0" w:hAnsi="0" w:cs="0" w:hint="default"/>
      </w:rPr>
    </w:lvl>
    <w:lvl w:ilvl="2">
      <w:start w:val="1"/>
      <w:numFmt w:val="bullet"/>
      <w:lvlText w:val=""/>
      <w:lvlJc w:val="left"/>
      <w:pPr>
        <w:tabs>
          <w:tab w:val="num" w:pos="0"/>
        </w:tabs>
        <w:ind w:left="2869" w:hanging="360"/>
      </w:pPr>
      <w:rPr>
        <w:rFonts w:ascii="0" w:hAnsi="0" w:cs="0" w:hint="default"/>
      </w:rPr>
    </w:lvl>
    <w:lvl w:ilvl="3">
      <w:start w:val="1"/>
      <w:numFmt w:val="bullet"/>
      <w:lvlText w:val=""/>
      <w:lvlJc w:val="left"/>
      <w:pPr>
        <w:tabs>
          <w:tab w:val="num" w:pos="0"/>
        </w:tabs>
        <w:ind w:left="3589" w:hanging="360"/>
      </w:pPr>
      <w:rPr>
        <w:rFonts w:ascii="0" w:hAnsi="0" w:cs="0" w:hint="default"/>
      </w:rPr>
    </w:lvl>
    <w:lvl w:ilvl="4">
      <w:start w:val="1"/>
      <w:numFmt w:val="bullet"/>
      <w:lvlText w:val="o"/>
      <w:lvlJc w:val="left"/>
      <w:pPr>
        <w:tabs>
          <w:tab w:val="num" w:pos="0"/>
        </w:tabs>
        <w:ind w:left="4309" w:hanging="360"/>
      </w:pPr>
      <w:rPr>
        <w:rFonts w:ascii="0" w:hAnsi="0" w:cs="0" w:hint="default"/>
      </w:rPr>
    </w:lvl>
    <w:lvl w:ilvl="5">
      <w:start w:val="1"/>
      <w:numFmt w:val="bullet"/>
      <w:lvlText w:val=""/>
      <w:lvlJc w:val="left"/>
      <w:pPr>
        <w:tabs>
          <w:tab w:val="num" w:pos="0"/>
        </w:tabs>
        <w:ind w:left="5029" w:hanging="360"/>
      </w:pPr>
      <w:rPr>
        <w:rFonts w:ascii="0" w:hAnsi="0" w:cs="0" w:hint="default"/>
      </w:rPr>
    </w:lvl>
    <w:lvl w:ilvl="6">
      <w:start w:val="1"/>
      <w:numFmt w:val="bullet"/>
      <w:lvlText w:val=""/>
      <w:lvlJc w:val="left"/>
      <w:pPr>
        <w:tabs>
          <w:tab w:val="num" w:pos="0"/>
        </w:tabs>
        <w:ind w:left="5749" w:hanging="360"/>
      </w:pPr>
      <w:rPr>
        <w:rFonts w:ascii="0" w:hAnsi="0" w:cs="0" w:hint="default"/>
      </w:rPr>
    </w:lvl>
    <w:lvl w:ilvl="7">
      <w:start w:val="1"/>
      <w:numFmt w:val="bullet"/>
      <w:lvlText w:val="o"/>
      <w:lvlJc w:val="left"/>
      <w:pPr>
        <w:tabs>
          <w:tab w:val="num" w:pos="0"/>
        </w:tabs>
        <w:ind w:left="6469" w:hanging="360"/>
      </w:pPr>
      <w:rPr>
        <w:rFonts w:ascii="0" w:hAnsi="0" w:cs="0" w:hint="default"/>
      </w:rPr>
    </w:lvl>
    <w:lvl w:ilvl="8">
      <w:start w:val="1"/>
      <w:numFmt w:val="bullet"/>
      <w:lvlText w:val=""/>
      <w:lvlJc w:val="left"/>
      <w:pPr>
        <w:tabs>
          <w:tab w:val="num" w:pos="0"/>
        </w:tabs>
        <w:ind w:left="7189" w:hanging="360"/>
      </w:pPr>
      <w:rPr>
        <w:rFonts w:ascii="0" w:hAnsi="0" w:cs="0"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b3f2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b40b88"/>
    <w:rPr>
      <w:rFonts w:ascii="Tahoma" w:hAnsi="Tahoma" w:cs="Tahoma"/>
      <w:sz w:val="16"/>
      <w:szCs w:val="16"/>
    </w:rPr>
  </w:style>
  <w:style w:type="character" w:styleId="212pt">
    <w:name w:val="Основной текст (2) + 12 pt"/>
    <w:qFormat/>
    <w:rPr>
      <w:color w:val="000000"/>
      <w:spacing w:val="0"/>
      <w:w w:val="100"/>
      <w:highlight w:val="white"/>
      <w:lang w:eastAsia="ru-RU"/>
    </w:rPr>
  </w:style>
  <w:style w:type="character" w:styleId="2">
    <w:name w:val="Основной текст (2) + Полужирный"/>
    <w:qFormat/>
    <w:rPr>
      <w:b/>
      <w:color w:val="000000"/>
      <w:spacing w:val="0"/>
      <w:w w:val="100"/>
      <w:sz w:val="28"/>
      <w:highlight w:val="white"/>
      <w:lang w:eastAsia="ru-RU"/>
    </w:rPr>
  </w:style>
  <w:style w:type="character" w:styleId="21">
    <w:name w:val="Основной текст (2)_"/>
    <w:qFormat/>
    <w:rPr>
      <w:sz w:val="28"/>
      <w:shd w:fill="FFFFFF" w:val="clear"/>
    </w:rPr>
  </w:style>
  <w:style w:type="character" w:styleId="Style15">
    <w:name w:val="Делопроизводство Знак"/>
    <w:qFormat/>
    <w:rPr>
      <w:rFonts w:ascii="Calibri" w:hAnsi="Calibri" w:eastAsia="Calibri"/>
      <w:sz w:val="30"/>
      <w:szCs w:val="30"/>
      <w:lang w:eastAsia="en-US"/>
    </w:rPr>
  </w:style>
  <w:style w:type="character" w:styleId="1">
    <w:name w:val="Заголовок 1 Знак"/>
    <w:qFormat/>
    <w:rPr>
      <w:rFonts w:ascii="Courier New" w:hAnsi="Courier New" w:cs="Courier New"/>
      <w:b/>
      <w:sz w:val="32"/>
    </w:rPr>
  </w:style>
  <w:style w:type="paragraph" w:styleId="Style16">
    <w:name w:val="Заголовок"/>
    <w:basedOn w:val="Normal"/>
    <w:next w:val="Style17"/>
    <w:qFormat/>
    <w:pPr>
      <w:keepNext w:val="true"/>
      <w:spacing w:before="240" w:after="120"/>
    </w:pPr>
    <w:rPr>
      <w:rFonts w:ascii="PT Astra Serif" w:hAnsi="PT Astra Serif" w:eastAsia="Tahoma" w:cs="Noto Sans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Noto Sans Devanagari"/>
    </w:rPr>
  </w:style>
  <w:style w:type="paragraph" w:styleId="Style19">
    <w:name w:val="Caption"/>
    <w:basedOn w:val="Normal"/>
    <w:qFormat/>
    <w:pPr>
      <w:suppressLineNumbers/>
      <w:spacing w:before="120" w:after="120"/>
    </w:pPr>
    <w:rPr>
      <w:rFonts w:ascii="PT Astra Serif" w:hAnsi="PT Astra Serif" w:cs="Noto Sans Devanagari"/>
      <w:i/>
      <w:iCs/>
      <w:sz w:val="24"/>
      <w:szCs w:val="24"/>
    </w:rPr>
  </w:style>
  <w:style w:type="paragraph" w:styleId="Style20">
    <w:name w:val="Указатель"/>
    <w:basedOn w:val="Normal"/>
    <w:qFormat/>
    <w:pPr>
      <w:suppressLineNumbers/>
    </w:pPr>
    <w:rPr>
      <w:rFonts w:ascii="PT Astra Serif" w:hAnsi="PT Astra Serif" w:cs="Noto Sans Devanagari"/>
    </w:rPr>
  </w:style>
  <w:style w:type="paragraph" w:styleId="BalloonText">
    <w:name w:val="Balloon Text"/>
    <w:basedOn w:val="Normal"/>
    <w:link w:val="a4"/>
    <w:uiPriority w:val="99"/>
    <w:semiHidden/>
    <w:unhideWhenUsed/>
    <w:qFormat/>
    <w:rsid w:val="00b40b88"/>
    <w:pPr>
      <w:spacing w:lineRule="auto" w:line="240" w:before="0" w:after="0"/>
    </w:pPr>
    <w:rPr>
      <w:rFonts w:ascii="Tahoma" w:hAnsi="Tahoma" w:cs="Tahoma"/>
      <w:sz w:val="16"/>
      <w:szCs w:val="16"/>
    </w:rPr>
  </w:style>
  <w:style w:type="paragraph" w:styleId="Text1" w:customStyle="1">
    <w:name w:val="text1"/>
    <w:basedOn w:val="Normal"/>
    <w:qFormat/>
    <w:rsid w:val="00716e2f"/>
    <w:pPr>
      <w:spacing w:lineRule="atLeast" w:line="240" w:before="0" w:after="300"/>
      <w:ind w:left="195" w:right="195" w:hanging="0"/>
      <w:jc w:val="both"/>
    </w:pPr>
    <w:rPr>
      <w:rFonts w:ascii="Arial" w:hAnsi="Arial" w:eastAsia="Times New Roman" w:cs="Arial"/>
      <w:color w:val="5E594E"/>
      <w:sz w:val="18"/>
      <w:szCs w:val="18"/>
      <w:lang w:eastAsia="ru-RU"/>
    </w:rPr>
  </w:style>
  <w:style w:type="paragraph" w:styleId="22">
    <w:name w:val="Основной текст (2)"/>
    <w:basedOn w:val="Normal"/>
    <w:qFormat/>
    <w:pPr>
      <w:widowControl w:val="false"/>
      <w:shd w:fill="FFFFFF"/>
      <w:spacing w:lineRule="exact" w:line="331"/>
      <w:jc w:val="center"/>
    </w:pPr>
    <w:rPr>
      <w:sz w:val="28"/>
    </w:rPr>
  </w:style>
  <w:style w:type="paragraph" w:styleId="Style21">
    <w:name w:val="Делопроизводство"/>
    <w:basedOn w:val="Normal"/>
    <w:qFormat/>
    <w:pPr>
      <w:ind w:right="-1" w:firstLine="709"/>
      <w:jc w:val="both"/>
    </w:pPr>
    <w:rPr>
      <w:rFonts w:ascii="Calibri" w:hAnsi="Calibri" w:eastAsia="Calibri"/>
      <w:sz w:val="30"/>
      <w:szCs w:val="30"/>
      <w:lang w:eastAsia="en-US"/>
    </w:rPr>
  </w:style>
  <w:style w:type="paragraph" w:styleId="ListParagraph">
    <w:name w:val="List Paragraph"/>
    <w:basedOn w:val="Normal"/>
    <w:qFormat/>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0F5AD-EB3A-47BE-8C78-EAF639F3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Application>LibreOffice/6.4.7.2$Linux_X86_64 LibreOffice_project/40$Build-2</Application>
  <Pages>2</Pages>
  <Words>744</Words>
  <Characters>4903</Characters>
  <CharactersWithSpaces>5616</CharactersWithSpaces>
  <Paragraphs>41</Paragraphs>
  <Company>ОНД Бежецк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
  <dc:language>ru-RU</dc:language>
  <cp:lastModifiedBy/>
  <dcterms:modified xsi:type="dcterms:W3CDTF">2022-12-23T13:06:58Z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ОНД Бежецк</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